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FE570" w14:textId="77777777" w:rsidR="00D41AB7" w:rsidRPr="00D41AB7" w:rsidRDefault="00D41AB7" w:rsidP="00D41AB7">
      <w:pPr>
        <w:pStyle w:val="NormalWeb"/>
        <w:spacing w:before="0" w:beforeAutospacing="0" w:after="150" w:afterAutospacing="0" w:line="301" w:lineRule="atLeast"/>
        <w:textAlignment w:val="baseline"/>
        <w:rPr>
          <w:rFonts w:ascii="Helvetica" w:hAnsi="Helvetica" w:cs="Helvetica"/>
          <w:i/>
          <w:color w:val="333333"/>
          <w:sz w:val="23"/>
          <w:szCs w:val="23"/>
        </w:rPr>
      </w:pPr>
      <w:r w:rsidRPr="00D41AB7">
        <w:rPr>
          <w:rFonts w:ascii="Helvetica" w:hAnsi="Helvetica" w:cs="Helvetica"/>
          <w:i/>
          <w:color w:val="333333"/>
          <w:sz w:val="23"/>
          <w:szCs w:val="23"/>
        </w:rPr>
        <w:t>If you're wondering when</w:t>
      </w:r>
      <w:r w:rsidR="00E271A4">
        <w:rPr>
          <w:rFonts w:ascii="Helvetica" w:hAnsi="Helvetica" w:cs="Helvetica"/>
          <w:i/>
          <w:color w:val="333333"/>
          <w:sz w:val="23"/>
          <w:szCs w:val="23"/>
        </w:rPr>
        <w:t xml:space="preserve"> is</w:t>
      </w:r>
      <w:r w:rsidRPr="00D41AB7">
        <w:rPr>
          <w:rFonts w:ascii="Helvetica" w:hAnsi="Helvetica" w:cs="Helvetica"/>
          <w:i/>
          <w:color w:val="333333"/>
          <w:sz w:val="23"/>
          <w:szCs w:val="23"/>
        </w:rPr>
        <w:t xml:space="preserve"> the right time to sell your business</w:t>
      </w:r>
      <w:r w:rsidR="00E271A4">
        <w:rPr>
          <w:rFonts w:ascii="Helvetica" w:hAnsi="Helvetica" w:cs="Helvetica"/>
          <w:i/>
          <w:color w:val="333333"/>
          <w:sz w:val="23"/>
          <w:szCs w:val="23"/>
        </w:rPr>
        <w:t xml:space="preserve">, </w:t>
      </w:r>
      <w:r w:rsidRPr="00D41AB7">
        <w:rPr>
          <w:rFonts w:ascii="Helvetica" w:hAnsi="Helvetica" w:cs="Helvetica"/>
          <w:i/>
          <w:color w:val="333333"/>
          <w:sz w:val="23"/>
          <w:szCs w:val="23"/>
        </w:rPr>
        <w:t>you may want to wait until your company is generating $1 million in earnings before interest, taxes, depreciation, and amortization (EBITDA).</w:t>
      </w:r>
    </w:p>
    <w:p w14:paraId="1611BC4D" w14:textId="77777777" w:rsidR="00D41AB7" w:rsidRDefault="00D41AB7" w:rsidP="00D41AB7">
      <w:pPr>
        <w:pStyle w:val="NormalWeb"/>
        <w:spacing w:before="0" w:beforeAutospacing="0" w:after="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inherit" w:hAnsi="inherit" w:cs="Helvetica"/>
          <w:b/>
          <w:bCs/>
          <w:color w:val="333333"/>
          <w:sz w:val="23"/>
          <w:szCs w:val="23"/>
          <w:bdr w:val="none" w:sz="0" w:space="0" w:color="auto" w:frame="1"/>
        </w:rPr>
        <w:t>What's so special about the million-dollar mark?</w:t>
      </w:r>
    </w:p>
    <w:p w14:paraId="41719BCE" w14:textId="77777777" w:rsidR="00D41AB7" w:rsidRDefault="00D41AB7" w:rsidP="00D41AB7">
      <w:pPr>
        <w:pStyle w:val="NormalWeb"/>
        <w:spacing w:before="0" w:beforeAutospacing="0" w:after="15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The million-dollar mark is a tipping point at which the number of buyers interested in acquiring your business goes up dramatically. The more interested buyers you have, the better multiple of earnings you will command.</w:t>
      </w:r>
    </w:p>
    <w:p w14:paraId="3E7312C4" w14:textId="77777777" w:rsidR="00D41AB7" w:rsidRDefault="00D41AB7" w:rsidP="00D41AB7">
      <w:pPr>
        <w:pStyle w:val="NormalWeb"/>
        <w:spacing w:before="0" w:beforeAutospacing="0" w:after="15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Since businesses are often valued on a multiple of earnings, getting to a million in profits means you're not only getting a higher multiple but also applying your multiple to a higher number.</w:t>
      </w:r>
    </w:p>
    <w:p w14:paraId="5FA3B661" w14:textId="4B43467C" w:rsidR="00D41AB7" w:rsidRDefault="00D41AB7" w:rsidP="00D41AB7">
      <w:pPr>
        <w:pStyle w:val="NormalWeb"/>
        <w:spacing w:before="0" w:beforeAutospacing="0" w:after="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For example, according to our research at</w:t>
      </w:r>
      <w:r w:rsidR="009D3511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9D3511" w:rsidRPr="009D3511">
        <w:rPr>
          <w:rFonts w:ascii="Helvetica" w:hAnsi="Helvetica" w:cs="Helvetica"/>
          <w:color w:val="333333"/>
          <w:sz w:val="23"/>
          <w:szCs w:val="23"/>
        </w:rPr>
        <w:t>ValueBuilderSystem.com</w:t>
      </w:r>
      <w:r>
        <w:rPr>
          <w:rFonts w:ascii="Helvetica" w:hAnsi="Helvetica" w:cs="Helvetica"/>
          <w:color w:val="333333"/>
          <w:sz w:val="23"/>
          <w:szCs w:val="23"/>
        </w:rPr>
        <w:t>, a company with $200,000 in EBITDA might be lucky to fetch three times EBITDA, or $600,000. A company with a million dollars in EBITDA would likely command at least five times that figure, or $5 million. So the company with $1 million in EBITDA is five times bigger than the $200,000 company, but almost</w:t>
      </w:r>
      <w:r>
        <w:rPr>
          <w:rStyle w:val="apple-converted-space"/>
          <w:rFonts w:ascii="Helvetica" w:eastAsiaTheme="majorEastAsia" w:hAnsi="Helvetica" w:cs="Helvetica"/>
          <w:color w:val="333333"/>
          <w:sz w:val="23"/>
          <w:szCs w:val="23"/>
        </w:rPr>
        <w:t> </w:t>
      </w:r>
      <w:r>
        <w:rPr>
          <w:rStyle w:val="Emphasis"/>
          <w:rFonts w:ascii="inherit" w:eastAsiaTheme="majorEastAsia" w:hAnsi="inherit" w:cs="Helvetica"/>
          <w:color w:val="333333"/>
          <w:sz w:val="23"/>
          <w:szCs w:val="23"/>
          <w:bdr w:val="none" w:sz="0" w:space="0" w:color="auto" w:frame="1"/>
        </w:rPr>
        <w:t>10</w:t>
      </w:r>
      <w:r>
        <w:rPr>
          <w:rStyle w:val="apple-converted-space"/>
          <w:rFonts w:ascii="Helvetica" w:eastAsiaTheme="majorEastAsia" w:hAnsi="Helvetica" w:cs="Helvetica"/>
          <w:color w:val="333333"/>
          <w:sz w:val="23"/>
          <w:szCs w:val="23"/>
        </w:rPr>
        <w:t> </w:t>
      </w:r>
      <w:r>
        <w:rPr>
          <w:rStyle w:val="Emphasis"/>
          <w:rFonts w:ascii="inherit" w:eastAsiaTheme="majorEastAsia" w:hAnsi="inherit" w:cs="Helvetica"/>
          <w:color w:val="333333"/>
          <w:sz w:val="23"/>
          <w:szCs w:val="23"/>
          <w:bdr w:val="none" w:sz="0" w:space="0" w:color="auto" w:frame="1"/>
        </w:rPr>
        <w:t>times</w:t>
      </w:r>
      <w:r>
        <w:rPr>
          <w:rStyle w:val="apple-converted-space"/>
          <w:rFonts w:ascii="Helvetica" w:eastAsiaTheme="majorEastAsia" w:hAnsi="Helvetica" w:cs="Helvetica"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more valuable.</w:t>
      </w:r>
    </w:p>
    <w:p w14:paraId="26988487" w14:textId="77777777" w:rsidR="00E271A4" w:rsidRDefault="00E271A4" w:rsidP="00D41AB7">
      <w:pPr>
        <w:pStyle w:val="NormalWeb"/>
        <w:spacing w:before="0" w:beforeAutospacing="0" w:after="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</w:p>
    <w:p w14:paraId="4420E7FD" w14:textId="77777777" w:rsidR="00D41AB7" w:rsidRDefault="00D41AB7" w:rsidP="00D41AB7">
      <w:pPr>
        <w:pStyle w:val="NormalWeb"/>
        <w:spacing w:before="0" w:beforeAutospacing="0" w:after="15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There are a number of reasons that offer</w:t>
      </w:r>
      <w:bookmarkStart w:id="0" w:name="_GoBack"/>
      <w:bookmarkEnd w:id="0"/>
      <w:r>
        <w:rPr>
          <w:rFonts w:ascii="Helvetica" w:hAnsi="Helvetica" w:cs="Helvetica"/>
          <w:color w:val="333333"/>
          <w:sz w:val="23"/>
          <w:szCs w:val="23"/>
        </w:rPr>
        <w:t xml:space="preserve"> multiples go up with company size, including:</w:t>
      </w:r>
    </w:p>
    <w:p w14:paraId="3D70B08C" w14:textId="77777777" w:rsidR="00D41AB7" w:rsidRDefault="00D41AB7" w:rsidP="00D41AB7">
      <w:pPr>
        <w:pStyle w:val="NormalWeb"/>
        <w:spacing w:before="0" w:beforeAutospacing="0" w:after="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inherit" w:hAnsi="inherit" w:cs="Helvetica"/>
          <w:b/>
          <w:bCs/>
          <w:color w:val="333333"/>
          <w:sz w:val="23"/>
          <w:szCs w:val="23"/>
          <w:bdr w:val="none" w:sz="0" w:space="0" w:color="auto" w:frame="1"/>
        </w:rPr>
        <w:t>1. Frictional Costs</w:t>
      </w:r>
    </w:p>
    <w:p w14:paraId="2731CA52" w14:textId="77777777" w:rsidR="00D41AB7" w:rsidRDefault="00D41AB7" w:rsidP="00D41AB7">
      <w:pPr>
        <w:pStyle w:val="NormalWeb"/>
        <w:spacing w:before="0" w:beforeAutospacing="0" w:after="15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It costs about the same in legal and banking fees to buy a company for $600,000 as it does to buy a company for $5 million. In large deals, these "frictional costs" become a rounding error, but they amount to a punitive tax on smaller deals.</w:t>
      </w:r>
    </w:p>
    <w:p w14:paraId="3C2B6F00" w14:textId="77777777" w:rsidR="00D41AB7" w:rsidRDefault="00D41AB7" w:rsidP="00D41AB7">
      <w:pPr>
        <w:pStyle w:val="NormalWeb"/>
        <w:spacing w:before="0" w:beforeAutospacing="0" w:after="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inherit" w:hAnsi="inherit" w:cs="Helvetica"/>
          <w:b/>
          <w:bCs/>
          <w:color w:val="333333"/>
          <w:sz w:val="23"/>
          <w:szCs w:val="23"/>
          <w:bdr w:val="none" w:sz="0" w:space="0" w:color="auto" w:frame="1"/>
        </w:rPr>
        <w:t>2. The 5-20 Rule</w:t>
      </w:r>
    </w:p>
    <w:p w14:paraId="694E2A37" w14:textId="77777777" w:rsidR="00D41AB7" w:rsidRDefault="00D41AB7" w:rsidP="00D41AB7">
      <w:pPr>
        <w:pStyle w:val="NormalWeb"/>
        <w:spacing w:before="0" w:beforeAutospacing="0" w:after="15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I first learned about the 5-20 rule from a friend of mine named Todd Taskey who runs an M&amp;A firm in the Washington, D.C. area. He discovered that</w:t>
      </w:r>
      <w:r w:rsidR="00E271A4">
        <w:rPr>
          <w:rFonts w:ascii="Helvetica" w:hAnsi="Helvetica" w:cs="Helvetica"/>
          <w:color w:val="333333"/>
          <w:sz w:val="23"/>
          <w:szCs w:val="23"/>
        </w:rPr>
        <w:t>,</w:t>
      </w:r>
      <w:r>
        <w:rPr>
          <w:rFonts w:ascii="Helvetica" w:hAnsi="Helvetica" w:cs="Helvetica"/>
          <w:color w:val="333333"/>
          <w:sz w:val="23"/>
          <w:szCs w:val="23"/>
        </w:rPr>
        <w:t xml:space="preserve"> in many of the deals he does, the acquiring company is between 5 and 20 times the size of the target company. I've since noticed the 5-20 rule in many situations and I believe that more often than not, your natural acquirer will indeed be between 5 and 20 times the size of your business.</w:t>
      </w:r>
    </w:p>
    <w:p w14:paraId="76B66A4D" w14:textId="77777777" w:rsidR="00D41AB7" w:rsidRDefault="00D41AB7" w:rsidP="00D41AB7">
      <w:pPr>
        <w:pStyle w:val="NormalWeb"/>
        <w:spacing w:before="0" w:beforeAutospacing="0" w:after="15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If an acquiring business is less than 5 times your size, it is a bet-the-company decision for the acquirer: If the acquisition fails, it will likely kill the acquiring company.</w:t>
      </w:r>
    </w:p>
    <w:p w14:paraId="4F190282" w14:textId="77777777" w:rsidR="00D41AB7" w:rsidRDefault="00D41AB7" w:rsidP="00D41AB7">
      <w:pPr>
        <w:pStyle w:val="NormalWeb"/>
        <w:spacing w:before="0" w:beforeAutospacing="0" w:after="15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Likewise, if the acquirer is more than 20 times the size of your business, the acquirer will not enjoy a meaningful lift to its revenue by buying </w:t>
      </w:r>
      <w:r w:rsidRPr="002F44BD">
        <w:rPr>
          <w:rFonts w:ascii="Helvetica" w:hAnsi="Helvetica" w:cs="Helvetica"/>
          <w:i/>
          <w:color w:val="333333"/>
          <w:sz w:val="23"/>
          <w:szCs w:val="23"/>
        </w:rPr>
        <w:t>you</w:t>
      </w:r>
      <w:r>
        <w:rPr>
          <w:rFonts w:ascii="Helvetica" w:hAnsi="Helvetica" w:cs="Helvetica"/>
          <w:color w:val="333333"/>
          <w:sz w:val="23"/>
          <w:szCs w:val="23"/>
        </w:rPr>
        <w:t>. Most big, mature companies aspire for 10 to 20 percent top-line revenue growth at a minimum. If they can get 5 percent of organic growth, they will try to acquire another 5 percent through acquisition, which means they need to look for a company with enough girth to move the needle.</w:t>
      </w:r>
    </w:p>
    <w:p w14:paraId="0D821CDB" w14:textId="77777777" w:rsidR="00D41AB7" w:rsidRDefault="00D41AB7" w:rsidP="00D41AB7">
      <w:pPr>
        <w:pStyle w:val="NormalWeb"/>
        <w:spacing w:before="0" w:beforeAutospacing="0" w:after="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inherit" w:hAnsi="inherit" w:cs="Helvetica"/>
          <w:b/>
          <w:bCs/>
          <w:color w:val="333333"/>
          <w:sz w:val="23"/>
          <w:szCs w:val="23"/>
          <w:bdr w:val="none" w:sz="0" w:space="0" w:color="auto" w:frame="1"/>
        </w:rPr>
        <w:t>3. Private Equity</w:t>
      </w:r>
    </w:p>
    <w:p w14:paraId="5399B90D" w14:textId="77777777" w:rsidR="00D41AB7" w:rsidRDefault="00D41AB7" w:rsidP="00D41AB7">
      <w:pPr>
        <w:pStyle w:val="NormalWeb"/>
        <w:spacing w:before="0" w:beforeAutospacing="0" w:after="15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Private Equity Groups (PEGs) make up a large chunk of the acquirers in the mid market. The value of your company will move up considerably if you're able to get a few PEGs interested in buying your business. But most PEGs are looking for companies with at least $1 million in EBITDA. The million-dollar cut-off is somewhat arbitrary, but very common. As </w:t>
      </w:r>
      <w:r>
        <w:rPr>
          <w:rFonts w:ascii="Helvetica" w:hAnsi="Helvetica" w:cs="Helvetica"/>
          <w:color w:val="333333"/>
          <w:sz w:val="23"/>
          <w:szCs w:val="23"/>
        </w:rPr>
        <w:lastRenderedPageBreak/>
        <w:t>with homebuyers who narrow their house search to houses that fit within a price range, or colleges that look for a minimum SAT score, if you don't fit the minimum criteria, you may not be considered.</w:t>
      </w:r>
    </w:p>
    <w:p w14:paraId="4B5D0A1A" w14:textId="77777777" w:rsidR="00D41AB7" w:rsidRDefault="00D41AB7" w:rsidP="00D41AB7">
      <w:pPr>
        <w:pStyle w:val="NormalWeb"/>
        <w:spacing w:before="0" w:beforeAutospacing="0" w:after="150" w:afterAutospacing="0" w:line="301" w:lineRule="atLeast"/>
        <w:textAlignment w:val="baseline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If you're close to a million dollars in EBITDA and getting antsy to sell, you may want to hold off until your profits eclipse the million-dollar threshold, because the universe of buyer</w:t>
      </w:r>
      <w:r w:rsidR="00E271A4">
        <w:rPr>
          <w:rFonts w:ascii="Helvetica" w:hAnsi="Helvetica" w:cs="Helvetica"/>
          <w:color w:val="333333"/>
          <w:sz w:val="23"/>
          <w:szCs w:val="23"/>
        </w:rPr>
        <w:t>s—</w:t>
      </w:r>
      <w:r>
        <w:rPr>
          <w:rFonts w:ascii="Helvetica" w:hAnsi="Helvetica" w:cs="Helvetica"/>
          <w:color w:val="333333"/>
          <w:sz w:val="23"/>
          <w:szCs w:val="23"/>
        </w:rPr>
        <w:t>and the multiple those buyers are willing to offer</w:t>
      </w:r>
      <w:r w:rsidR="00E271A4">
        <w:rPr>
          <w:rFonts w:ascii="Helvetica" w:hAnsi="Helvetica" w:cs="Helvetica"/>
          <w:color w:val="333333"/>
          <w:sz w:val="23"/>
          <w:szCs w:val="23"/>
        </w:rPr>
        <w:t>—</w:t>
      </w:r>
      <w:r>
        <w:rPr>
          <w:rFonts w:ascii="Helvetica" w:hAnsi="Helvetica" w:cs="Helvetica"/>
          <w:color w:val="333333"/>
          <w:sz w:val="23"/>
          <w:szCs w:val="23"/>
        </w:rPr>
        <w:t>jumps nicely once you reach seven figures.</w:t>
      </w:r>
    </w:p>
    <w:p w14:paraId="4B59743E" w14:textId="77777777" w:rsidR="008D52C3" w:rsidRDefault="008D52C3"/>
    <w:sectPr w:rsidR="008D52C3" w:rsidSect="008D52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B7"/>
    <w:rsid w:val="00085B8C"/>
    <w:rsid w:val="002B2BDC"/>
    <w:rsid w:val="002F44BD"/>
    <w:rsid w:val="003D2801"/>
    <w:rsid w:val="00560FCF"/>
    <w:rsid w:val="006167CC"/>
    <w:rsid w:val="006C692D"/>
    <w:rsid w:val="00841FA1"/>
    <w:rsid w:val="008D52C3"/>
    <w:rsid w:val="008E5C82"/>
    <w:rsid w:val="009254C7"/>
    <w:rsid w:val="009D3511"/>
    <w:rsid w:val="00D41AB7"/>
    <w:rsid w:val="00E23A04"/>
    <w:rsid w:val="00E271A4"/>
    <w:rsid w:val="00F1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27A86"/>
  <w15:docId w15:val="{E159C9F5-56DA-4E3E-8F18-170FC5CC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BDC"/>
  </w:style>
  <w:style w:type="paragraph" w:styleId="Heading1">
    <w:name w:val="heading 1"/>
    <w:basedOn w:val="Normal"/>
    <w:next w:val="Normal"/>
    <w:link w:val="Heading1Char"/>
    <w:uiPriority w:val="9"/>
    <w:qFormat/>
    <w:rsid w:val="002B2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B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B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B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B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B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B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B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B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B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BD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BD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BDC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BDC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BDC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BD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2B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2B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2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2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B2BDC"/>
    <w:rPr>
      <w:b/>
      <w:bCs/>
    </w:rPr>
  </w:style>
  <w:style w:type="character" w:styleId="Emphasis">
    <w:name w:val="Emphasis"/>
    <w:basedOn w:val="DefaultParagraphFont"/>
    <w:uiPriority w:val="20"/>
    <w:qFormat/>
    <w:rsid w:val="002B2BDC"/>
    <w:rPr>
      <w:i/>
      <w:iCs/>
    </w:rPr>
  </w:style>
  <w:style w:type="paragraph" w:styleId="NoSpacing">
    <w:name w:val="No Spacing"/>
    <w:uiPriority w:val="1"/>
    <w:qFormat/>
    <w:rsid w:val="002B2BDC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B2B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2B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B2BDC"/>
    <w:rPr>
      <w:i/>
      <w:iCs/>
      <w:color w:val="000000" w:themeColor="tex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B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BDC"/>
    <w:rPr>
      <w:b/>
      <w:bCs/>
      <w:i/>
      <w:iCs/>
      <w:color w:val="4F81BD" w:themeColor="accent1"/>
      <w:lang w:val="en-US"/>
    </w:rPr>
  </w:style>
  <w:style w:type="character" w:styleId="SubtleEmphasis">
    <w:name w:val="Subtle Emphasis"/>
    <w:basedOn w:val="DefaultParagraphFont"/>
    <w:uiPriority w:val="19"/>
    <w:qFormat/>
    <w:rsid w:val="002B2BD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B2BD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B2BD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B2BD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2BD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BD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4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D41AB7"/>
  </w:style>
  <w:style w:type="character" w:styleId="Hyperlink">
    <w:name w:val="Hyperlink"/>
    <w:basedOn w:val="DefaultParagraphFont"/>
    <w:uiPriority w:val="99"/>
    <w:semiHidden/>
    <w:unhideWhenUsed/>
    <w:rsid w:val="00D41A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Microsoft account</cp:lastModifiedBy>
  <cp:revision>3</cp:revision>
  <dcterms:created xsi:type="dcterms:W3CDTF">2015-09-30T16:00:00Z</dcterms:created>
  <dcterms:modified xsi:type="dcterms:W3CDTF">2015-09-30T16:01:00Z</dcterms:modified>
</cp:coreProperties>
</file>